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7" w:rsidRPr="00235737" w:rsidRDefault="00235737" w:rsidP="00235737">
      <w:pPr>
        <w:tabs>
          <w:tab w:val="left" w:pos="93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235737">
        <w:rPr>
          <w:rFonts w:ascii="Times New Roman" w:hAnsi="Times New Roman" w:cs="Times New Roman"/>
          <w:sz w:val="36"/>
          <w:szCs w:val="36"/>
        </w:rPr>
        <w:t>Pharmacognostic</w:t>
      </w:r>
      <w:proofErr w:type="spellEnd"/>
      <w:r w:rsidRPr="00235737">
        <w:rPr>
          <w:rFonts w:ascii="Times New Roman" w:hAnsi="Times New Roman" w:cs="Times New Roman"/>
          <w:sz w:val="36"/>
          <w:szCs w:val="36"/>
        </w:rPr>
        <w:t xml:space="preserve"> evalu</w:t>
      </w:r>
      <w:r w:rsidR="006F45F3">
        <w:rPr>
          <w:rFonts w:ascii="Times New Roman" w:hAnsi="Times New Roman" w:cs="Times New Roman"/>
          <w:sz w:val="36"/>
          <w:szCs w:val="36"/>
        </w:rPr>
        <w:t>ation and Antioxidant properties</w:t>
      </w:r>
      <w:r w:rsidRPr="00235737">
        <w:rPr>
          <w:rFonts w:ascii="Times New Roman" w:hAnsi="Times New Roman" w:cs="Times New Roman"/>
          <w:sz w:val="36"/>
          <w:szCs w:val="36"/>
        </w:rPr>
        <w:t xml:space="preserve"> of the leaf and fruit extract of </w:t>
      </w:r>
      <w:proofErr w:type="spellStart"/>
      <w:r w:rsidRPr="00235737">
        <w:rPr>
          <w:rFonts w:ascii="Times New Roman" w:hAnsi="Times New Roman" w:cs="Times New Roman"/>
          <w:i/>
          <w:sz w:val="36"/>
          <w:szCs w:val="36"/>
        </w:rPr>
        <w:t>Azanza</w:t>
      </w:r>
      <w:proofErr w:type="spellEnd"/>
      <w:r w:rsidRPr="0023573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235737">
        <w:rPr>
          <w:rFonts w:ascii="Times New Roman" w:hAnsi="Times New Roman" w:cs="Times New Roman"/>
          <w:i/>
          <w:sz w:val="36"/>
          <w:szCs w:val="36"/>
        </w:rPr>
        <w:t>garkeana</w:t>
      </w:r>
      <w:proofErr w:type="spellEnd"/>
    </w:p>
    <w:p w:rsidR="00235737" w:rsidRPr="00235737" w:rsidRDefault="00235737" w:rsidP="00235737">
      <w:pPr>
        <w:tabs>
          <w:tab w:val="left" w:pos="930"/>
        </w:tabs>
        <w:jc w:val="center"/>
        <w:rPr>
          <w:i/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i/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i/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i/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  <w:proofErr w:type="spellStart"/>
      <w:r w:rsidRPr="00235737">
        <w:rPr>
          <w:sz w:val="36"/>
          <w:szCs w:val="36"/>
        </w:rPr>
        <w:t>Msc</w:t>
      </w:r>
      <w:proofErr w:type="spellEnd"/>
      <w:r w:rsidRPr="00235737">
        <w:rPr>
          <w:sz w:val="36"/>
          <w:szCs w:val="36"/>
        </w:rPr>
        <w:t xml:space="preserve"> proposal</w:t>
      </w:r>
    </w:p>
    <w:p w:rsid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</w:p>
    <w:p w:rsid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  <w:r w:rsidRPr="00235737">
        <w:rPr>
          <w:sz w:val="36"/>
          <w:szCs w:val="36"/>
        </w:rPr>
        <w:t>By</w:t>
      </w:r>
    </w:p>
    <w:p w:rsidR="00235737" w:rsidRP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  <w:r w:rsidRPr="00235737">
        <w:rPr>
          <w:sz w:val="36"/>
          <w:szCs w:val="36"/>
        </w:rPr>
        <w:t xml:space="preserve">Adams </w:t>
      </w:r>
      <w:proofErr w:type="spellStart"/>
      <w:r w:rsidRPr="00235737">
        <w:rPr>
          <w:sz w:val="36"/>
          <w:szCs w:val="36"/>
        </w:rPr>
        <w:t>Talatu</w:t>
      </w:r>
      <w:proofErr w:type="spellEnd"/>
      <w:r w:rsidRPr="00235737">
        <w:rPr>
          <w:sz w:val="36"/>
          <w:szCs w:val="36"/>
        </w:rPr>
        <w:t xml:space="preserve"> Tata</w:t>
      </w:r>
    </w:p>
    <w:p w:rsid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  <w:r w:rsidRPr="00235737">
        <w:rPr>
          <w:sz w:val="36"/>
          <w:szCs w:val="36"/>
        </w:rPr>
        <w:t>UJ/2016/PGPH/0009</w:t>
      </w:r>
    </w:p>
    <w:p w:rsid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</w:p>
    <w:p w:rsidR="00235737" w:rsidRPr="00235737" w:rsidRDefault="00235737" w:rsidP="00235737">
      <w:pPr>
        <w:tabs>
          <w:tab w:val="left" w:pos="930"/>
        </w:tabs>
        <w:jc w:val="center"/>
        <w:rPr>
          <w:sz w:val="36"/>
          <w:szCs w:val="36"/>
        </w:rPr>
      </w:pPr>
      <w:r w:rsidRPr="00235737">
        <w:rPr>
          <w:sz w:val="36"/>
          <w:szCs w:val="36"/>
        </w:rPr>
        <w:t xml:space="preserve">Department of </w:t>
      </w:r>
      <w:proofErr w:type="spellStart"/>
      <w:r w:rsidRPr="00235737">
        <w:rPr>
          <w:sz w:val="36"/>
          <w:szCs w:val="36"/>
        </w:rPr>
        <w:t>Pharmacognosy</w:t>
      </w:r>
      <w:proofErr w:type="spellEnd"/>
      <w:r w:rsidRPr="00235737">
        <w:rPr>
          <w:sz w:val="36"/>
          <w:szCs w:val="36"/>
        </w:rPr>
        <w:t xml:space="preserve"> and Traditional medicine</w:t>
      </w:r>
    </w:p>
    <w:p w:rsidR="00235737" w:rsidRDefault="00235737" w:rsidP="00235737">
      <w:pPr>
        <w:pStyle w:val="Footer"/>
        <w:jc w:val="center"/>
        <w:rPr>
          <w:sz w:val="36"/>
          <w:szCs w:val="36"/>
        </w:rPr>
      </w:pPr>
      <w:r w:rsidRPr="00235737">
        <w:rPr>
          <w:sz w:val="36"/>
          <w:szCs w:val="36"/>
        </w:rPr>
        <w:t>University of Jos</w:t>
      </w:r>
    </w:p>
    <w:p w:rsidR="006F45F3" w:rsidRDefault="006F45F3" w:rsidP="00235737">
      <w:pPr>
        <w:pStyle w:val="Foot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45F3" w:rsidRDefault="006F45F3" w:rsidP="00235737">
      <w:pPr>
        <w:pStyle w:val="Footer"/>
        <w:jc w:val="center"/>
        <w:rPr>
          <w:sz w:val="36"/>
          <w:szCs w:val="36"/>
        </w:rPr>
      </w:pPr>
    </w:p>
    <w:p w:rsidR="006F45F3" w:rsidRDefault="006F45F3" w:rsidP="00235737">
      <w:pPr>
        <w:pStyle w:val="Footer"/>
        <w:jc w:val="center"/>
        <w:rPr>
          <w:sz w:val="36"/>
          <w:szCs w:val="36"/>
        </w:rPr>
      </w:pPr>
      <w:r>
        <w:rPr>
          <w:sz w:val="36"/>
          <w:szCs w:val="36"/>
        </w:rPr>
        <w:t>Supervisors</w:t>
      </w:r>
    </w:p>
    <w:p w:rsidR="006F45F3" w:rsidRPr="006F45F3" w:rsidRDefault="006F45F3" w:rsidP="00235737">
      <w:pPr>
        <w:pStyle w:val="Footer"/>
        <w:jc w:val="center"/>
        <w:rPr>
          <w:sz w:val="36"/>
          <w:szCs w:val="36"/>
        </w:rPr>
      </w:pPr>
      <w:r w:rsidRPr="006F45F3">
        <w:rPr>
          <w:sz w:val="36"/>
          <w:szCs w:val="36"/>
        </w:rPr>
        <w:t>DR. Ahmed</w:t>
      </w:r>
    </w:p>
    <w:p w:rsidR="006F45F3" w:rsidRPr="006F45F3" w:rsidRDefault="006F45F3" w:rsidP="006F45F3">
      <w:pPr>
        <w:pStyle w:val="Footer"/>
        <w:rPr>
          <w:sz w:val="36"/>
          <w:szCs w:val="36"/>
        </w:rPr>
      </w:pPr>
      <w:r w:rsidRPr="006F45F3">
        <w:rPr>
          <w:sz w:val="36"/>
          <w:szCs w:val="36"/>
        </w:rPr>
        <w:t xml:space="preserve">                                              PN </w:t>
      </w:r>
      <w:proofErr w:type="spellStart"/>
      <w:r w:rsidRPr="006F45F3">
        <w:rPr>
          <w:sz w:val="36"/>
          <w:szCs w:val="36"/>
        </w:rPr>
        <w:t>Olotu</w:t>
      </w:r>
      <w:proofErr w:type="spellEnd"/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rPr>
          <w:sz w:val="28"/>
          <w:szCs w:val="28"/>
        </w:rPr>
      </w:pPr>
    </w:p>
    <w:p w:rsidR="00235737" w:rsidRDefault="00235737" w:rsidP="00235737">
      <w:pPr>
        <w:pStyle w:val="Footer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Introduction</w:t>
      </w:r>
    </w:p>
    <w:p w:rsidR="00235737" w:rsidRDefault="00235737" w:rsidP="00235737">
      <w:pPr>
        <w:pStyle w:val="Footer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is a semi delicious tree/shrub with round medium crooked stem (</w:t>
      </w:r>
      <w:proofErr w:type="spellStart"/>
      <w:r>
        <w:rPr>
          <w:sz w:val="28"/>
          <w:szCs w:val="28"/>
        </w:rPr>
        <w:t>palgrave</w:t>
      </w:r>
      <w:proofErr w:type="spellEnd"/>
      <w:r>
        <w:rPr>
          <w:sz w:val="28"/>
          <w:szCs w:val="28"/>
        </w:rPr>
        <w:t xml:space="preserve"> et al., 1985</w:t>
      </w:r>
      <w:proofErr w:type="gramStart"/>
      <w:r>
        <w:rPr>
          <w:sz w:val="28"/>
          <w:szCs w:val="28"/>
        </w:rPr>
        <w:t>)  .</w:t>
      </w:r>
      <w:proofErr w:type="gramEnd"/>
      <w:r>
        <w:rPr>
          <w:sz w:val="28"/>
          <w:szCs w:val="28"/>
        </w:rPr>
        <w:t xml:space="preserve"> It is commonly called the African chewing gum, wild hibiscus, snot apple and locally called </w:t>
      </w:r>
      <w:proofErr w:type="spellStart"/>
      <w:r>
        <w:rPr>
          <w:sz w:val="28"/>
          <w:szCs w:val="28"/>
        </w:rPr>
        <w:t>Goron</w:t>
      </w:r>
      <w:proofErr w:type="spellEnd"/>
      <w:r>
        <w:rPr>
          <w:sz w:val="28"/>
          <w:szCs w:val="28"/>
        </w:rPr>
        <w:t xml:space="preserve"> Tula in Hausa.  The tree can grow to a height of 3-15meters, depending on the environment in which it grows (</w:t>
      </w:r>
      <w:proofErr w:type="spellStart"/>
      <w:proofErr w:type="gramStart"/>
      <w:r>
        <w:rPr>
          <w:sz w:val="28"/>
          <w:szCs w:val="28"/>
        </w:rPr>
        <w:t>palgrave</w:t>
      </w:r>
      <w:proofErr w:type="spellEnd"/>
      <w:proofErr w:type="gramEnd"/>
      <w:r>
        <w:rPr>
          <w:sz w:val="28"/>
          <w:szCs w:val="28"/>
        </w:rPr>
        <w:t xml:space="preserve"> et al,). The twigs are hairy when young but smooth with age and branches have woolly hairs (ICRAF, 1992). The leaves have 3-5 lobes, which are covered in a brown star shaped hair, and have longitudinal fissures in the midrib (FAO, 1983). The flowers have many stamen and five (5) petals which are yellow or purplish (</w:t>
      </w:r>
      <w:proofErr w:type="spellStart"/>
      <w:proofErr w:type="gramStart"/>
      <w:r>
        <w:rPr>
          <w:sz w:val="28"/>
          <w:szCs w:val="28"/>
        </w:rPr>
        <w:t>palgrave</w:t>
      </w:r>
      <w:proofErr w:type="spellEnd"/>
      <w:proofErr w:type="gramEnd"/>
      <w:r>
        <w:rPr>
          <w:sz w:val="28"/>
          <w:szCs w:val="28"/>
        </w:rPr>
        <w:t>, 1985). The flowers are bisexual with all floral parts. The fruits are hairy, spherical, hard and about 2.5 to 4cm long in diameter, internally divided into 4 to 5 longitudinal sections which are eatable. They are brownish green when matured (ICRAF, 1992).</w:t>
      </w:r>
    </w:p>
    <w:p w:rsidR="00C3458E" w:rsidRDefault="00235737" w:rsidP="00235737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r w:rsidRPr="007F687C">
        <w:rPr>
          <w:sz w:val="28"/>
          <w:szCs w:val="28"/>
        </w:rPr>
        <w:t xml:space="preserve">is widely distributed in east and </w:t>
      </w:r>
      <w:proofErr w:type="gramStart"/>
      <w:r w:rsidRPr="007F687C">
        <w:rPr>
          <w:sz w:val="28"/>
          <w:szCs w:val="28"/>
        </w:rPr>
        <w:t>south</w:t>
      </w:r>
      <w:proofErr w:type="gramEnd"/>
      <w:r w:rsidRPr="007F687C">
        <w:rPr>
          <w:sz w:val="28"/>
          <w:szCs w:val="28"/>
        </w:rPr>
        <w:t xml:space="preserve"> African</w:t>
      </w:r>
      <w:r>
        <w:rPr>
          <w:sz w:val="28"/>
          <w:szCs w:val="28"/>
        </w:rPr>
        <w:t xml:space="preserve"> countries like </w:t>
      </w:r>
      <w:proofErr w:type="spellStart"/>
      <w:r>
        <w:rPr>
          <w:sz w:val="28"/>
          <w:szCs w:val="28"/>
        </w:rPr>
        <w:t>Botsuwana</w:t>
      </w:r>
      <w:proofErr w:type="spellEnd"/>
      <w:r>
        <w:rPr>
          <w:sz w:val="28"/>
          <w:szCs w:val="28"/>
        </w:rPr>
        <w:t xml:space="preserve">, Kenya Malawi, South Africa, Zambia, Zimbabwe, </w:t>
      </w:r>
      <w:proofErr w:type="spellStart"/>
      <w:r>
        <w:rPr>
          <w:sz w:val="28"/>
          <w:szCs w:val="28"/>
        </w:rPr>
        <w:t>Tanzalia</w:t>
      </w:r>
      <w:proofErr w:type="spellEnd"/>
      <w:r>
        <w:rPr>
          <w:sz w:val="28"/>
          <w:szCs w:val="28"/>
        </w:rPr>
        <w:t>. The species was reported to be growing from Sudan to south Africa (</w:t>
      </w:r>
      <w:proofErr w:type="spellStart"/>
      <w:r>
        <w:rPr>
          <w:sz w:val="28"/>
          <w:szCs w:val="28"/>
        </w:rPr>
        <w:t>Mbuya</w:t>
      </w:r>
      <w:proofErr w:type="spellEnd"/>
      <w:r>
        <w:rPr>
          <w:sz w:val="28"/>
          <w:szCs w:val="28"/>
        </w:rPr>
        <w:t xml:space="preserve"> et al,</w:t>
      </w:r>
      <w:proofErr w:type="gramStart"/>
      <w:r>
        <w:rPr>
          <w:sz w:val="28"/>
          <w:szCs w:val="28"/>
        </w:rPr>
        <w:t>. )</w:t>
      </w:r>
      <w:proofErr w:type="gramEnd"/>
      <w:r>
        <w:rPr>
          <w:sz w:val="28"/>
          <w:szCs w:val="28"/>
        </w:rPr>
        <w:t>. It is also found in Gombe state, Nigeria, west Africa which grows naturally in all types of woodlands from sea level to 1700m above sea level (</w:t>
      </w:r>
      <w:proofErr w:type="spellStart"/>
      <w:r>
        <w:rPr>
          <w:sz w:val="28"/>
          <w:szCs w:val="28"/>
        </w:rPr>
        <w:t>Mulofwa</w:t>
      </w:r>
      <w:proofErr w:type="spellEnd"/>
      <w:r>
        <w:rPr>
          <w:sz w:val="28"/>
          <w:szCs w:val="28"/>
        </w:rPr>
        <w:t xml:space="preserve"> et al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). It grows in semi-arid areas receiving lowest annual rainfall of 250mm and </w:t>
      </w:r>
      <w:r w:rsidR="006F45F3">
        <w:rPr>
          <w:sz w:val="28"/>
          <w:szCs w:val="28"/>
        </w:rPr>
        <w:t>highest</w:t>
      </w:r>
      <w:r>
        <w:rPr>
          <w:sz w:val="28"/>
          <w:szCs w:val="28"/>
        </w:rPr>
        <w:t xml:space="preserve"> of 1270mm (</w:t>
      </w:r>
      <w:proofErr w:type="gramStart"/>
      <w:r>
        <w:rPr>
          <w:sz w:val="28"/>
          <w:szCs w:val="28"/>
        </w:rPr>
        <w:t>FAO ,</w:t>
      </w:r>
      <w:proofErr w:type="gramEnd"/>
      <w:r>
        <w:rPr>
          <w:sz w:val="28"/>
          <w:szCs w:val="28"/>
        </w:rPr>
        <w:t xml:space="preserve"> 1983). Over the range of its entirety, the species grows in a variety of soils and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found on or near termite moulds and desert village fields (White F, 1962). In Nigeria it grows in open woodland in savannah area, in Tula district of </w:t>
      </w:r>
      <w:proofErr w:type="spellStart"/>
      <w:r>
        <w:rPr>
          <w:sz w:val="28"/>
          <w:szCs w:val="28"/>
        </w:rPr>
        <w:t>Kaltungo</w:t>
      </w:r>
      <w:proofErr w:type="spellEnd"/>
      <w:r>
        <w:rPr>
          <w:sz w:val="28"/>
          <w:szCs w:val="28"/>
        </w:rPr>
        <w:t xml:space="preserve"> local government area of southern Gombe</w:t>
      </w:r>
      <w:r>
        <w:rPr>
          <w:sz w:val="28"/>
          <w:szCs w:val="28"/>
        </w:rPr>
        <w:t xml:space="preserve"> State of Nigeria.</w:t>
      </w:r>
    </w:p>
    <w:p w:rsidR="009D72E2" w:rsidRPr="009D72E2" w:rsidRDefault="009D72E2" w:rsidP="00235737">
      <w:pPr>
        <w:jc w:val="both"/>
        <w:rPr>
          <w:b/>
          <w:sz w:val="28"/>
          <w:szCs w:val="28"/>
        </w:rPr>
      </w:pPr>
      <w:r w:rsidRPr="009D72E2">
        <w:rPr>
          <w:b/>
          <w:sz w:val="28"/>
          <w:szCs w:val="28"/>
        </w:rPr>
        <w:t xml:space="preserve">Statement of Problem </w:t>
      </w:r>
    </w:p>
    <w:p w:rsidR="009D72E2" w:rsidRDefault="009D72E2" w:rsidP="00235737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sz w:val="28"/>
          <w:szCs w:val="28"/>
        </w:rPr>
        <w:t xml:space="preserve"> is used in traditional medicine as remedy for various ailments without scientific validation. </w:t>
      </w:r>
    </w:p>
    <w:p w:rsidR="009D72E2" w:rsidRDefault="009D72E2" w:rsidP="002357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There is paucity of information on the </w:t>
      </w:r>
      <w:proofErr w:type="spellStart"/>
      <w:r>
        <w:rPr>
          <w:sz w:val="28"/>
          <w:szCs w:val="28"/>
        </w:rPr>
        <w:t>phytochemistry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phytomedicine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i/>
          <w:sz w:val="28"/>
          <w:szCs w:val="28"/>
        </w:rPr>
        <w:t>.</w:t>
      </w:r>
    </w:p>
    <w:p w:rsidR="009D72E2" w:rsidRDefault="009D72E2" w:rsidP="002357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Justification</w:t>
      </w:r>
    </w:p>
    <w:p w:rsidR="009D72E2" w:rsidRDefault="009D72E2" w:rsidP="00235737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is an important plant which has attracted much interest</w:t>
      </w:r>
      <w:r w:rsidR="006F4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scientist in recent time. These includes the establishment of some pharmacological and </w:t>
      </w:r>
      <w:proofErr w:type="spellStart"/>
      <w:r>
        <w:rPr>
          <w:sz w:val="28"/>
          <w:szCs w:val="28"/>
        </w:rPr>
        <w:t>pharmachemical</w:t>
      </w:r>
      <w:proofErr w:type="spellEnd"/>
      <w:r>
        <w:rPr>
          <w:sz w:val="28"/>
          <w:szCs w:val="28"/>
        </w:rPr>
        <w:t xml:space="preserve"> activities.</w:t>
      </w:r>
    </w:p>
    <w:p w:rsidR="009D72E2" w:rsidRDefault="008A2BD8" w:rsidP="002357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Hypothesis </w:t>
      </w:r>
    </w:p>
    <w:p w:rsidR="008A2BD8" w:rsidRDefault="008A2BD8" w:rsidP="0023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bioactive constituents of the </w:t>
      </w: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sz w:val="28"/>
          <w:szCs w:val="28"/>
        </w:rPr>
        <w:t xml:space="preserve"> are responsible for its uses as a remedy for ailment.</w:t>
      </w:r>
    </w:p>
    <w:p w:rsidR="008A2BD8" w:rsidRDefault="008A2BD8" w:rsidP="002357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Aim</w:t>
      </w:r>
    </w:p>
    <w:p w:rsidR="008A2BD8" w:rsidRDefault="008A2BD8" w:rsidP="0023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establish scientific bases for using the fruits and leaves of </w:t>
      </w:r>
      <w:proofErr w:type="spellStart"/>
      <w:r>
        <w:rPr>
          <w:i/>
          <w:sz w:val="28"/>
          <w:szCs w:val="28"/>
        </w:rPr>
        <w:t>Azanza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garkeana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as an antioxidant. This can be achieved through the following specific objectives;</w:t>
      </w:r>
    </w:p>
    <w:p w:rsidR="008A2BD8" w:rsidRDefault="008A2BD8" w:rsidP="008A2B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extract the samples using Hexane, ethanol and ethyl acetate</w:t>
      </w:r>
    </w:p>
    <w:p w:rsidR="008A2BD8" w:rsidRPr="008A2BD8" w:rsidRDefault="008A2BD8" w:rsidP="008A2B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determine the antioxidant properties of the extract.</w:t>
      </w:r>
    </w:p>
    <w:p w:rsidR="008A2BD8" w:rsidRDefault="008A2BD8" w:rsidP="00235737">
      <w:pPr>
        <w:jc w:val="both"/>
        <w:rPr>
          <w:b/>
        </w:rPr>
      </w:pPr>
    </w:p>
    <w:p w:rsidR="008A2BD8" w:rsidRPr="008A2BD8" w:rsidRDefault="008A2BD8" w:rsidP="00FD1366">
      <w:pPr>
        <w:jc w:val="both"/>
        <w:rPr>
          <w:b/>
          <w:sz w:val="28"/>
          <w:szCs w:val="28"/>
        </w:rPr>
      </w:pPr>
      <w:r w:rsidRPr="008A2BD8">
        <w:rPr>
          <w:b/>
          <w:sz w:val="28"/>
          <w:szCs w:val="28"/>
        </w:rPr>
        <w:t xml:space="preserve">Materials </w:t>
      </w:r>
      <w:r w:rsidR="00FD1366">
        <w:rPr>
          <w:b/>
          <w:sz w:val="28"/>
          <w:szCs w:val="28"/>
        </w:rPr>
        <w:t>and methods</w:t>
      </w:r>
      <w:r w:rsidRPr="008A2BD8">
        <w:rPr>
          <w:b/>
          <w:sz w:val="28"/>
          <w:szCs w:val="28"/>
        </w:rPr>
        <w:tab/>
      </w:r>
    </w:p>
    <w:p w:rsidR="00FD1366" w:rsidRDefault="00FD1366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Methods</w:t>
      </w:r>
    </w:p>
    <w:p w:rsidR="00FD1366" w:rsidRDefault="00FD1366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Collection and preparation of plant</w:t>
      </w:r>
    </w:p>
    <w:p w:rsidR="00FD1366" w:rsidRDefault="00FD1366" w:rsidP="00FD1366">
      <w:pPr>
        <w:jc w:val="both"/>
        <w:rPr>
          <w:sz w:val="28"/>
          <w:szCs w:val="28"/>
        </w:rPr>
      </w:pPr>
      <w:r w:rsidRPr="00FD1366">
        <w:rPr>
          <w:sz w:val="28"/>
          <w:szCs w:val="28"/>
        </w:rPr>
        <w:t xml:space="preserve">The fruits and leaves of </w:t>
      </w:r>
      <w:proofErr w:type="spellStart"/>
      <w:r w:rsidRPr="00FD1366">
        <w:rPr>
          <w:i/>
          <w:sz w:val="28"/>
          <w:szCs w:val="28"/>
        </w:rPr>
        <w:t>Azanza</w:t>
      </w:r>
      <w:proofErr w:type="spellEnd"/>
      <w:r w:rsidRPr="00FD1366">
        <w:rPr>
          <w:i/>
          <w:sz w:val="28"/>
          <w:szCs w:val="28"/>
        </w:rPr>
        <w:t xml:space="preserve"> </w:t>
      </w:r>
      <w:proofErr w:type="spellStart"/>
      <w:r w:rsidRPr="00FD1366">
        <w:rPr>
          <w:i/>
          <w:sz w:val="28"/>
          <w:szCs w:val="28"/>
        </w:rPr>
        <w:t>garkeana</w:t>
      </w:r>
      <w:proofErr w:type="spellEnd"/>
      <w:r w:rsidRPr="00FD1366">
        <w:rPr>
          <w:i/>
        </w:rPr>
        <w:t xml:space="preserve"> </w:t>
      </w:r>
      <w:r w:rsidRPr="00FD1366">
        <w:rPr>
          <w:sz w:val="28"/>
          <w:szCs w:val="28"/>
        </w:rPr>
        <w:t xml:space="preserve">will be collected from Tula </w:t>
      </w:r>
      <w:proofErr w:type="spellStart"/>
      <w:r w:rsidRPr="00FD1366">
        <w:rPr>
          <w:sz w:val="28"/>
          <w:szCs w:val="28"/>
        </w:rPr>
        <w:t>yiri</w:t>
      </w:r>
      <w:proofErr w:type="spellEnd"/>
      <w:r w:rsidRPr="00FD1366">
        <w:rPr>
          <w:sz w:val="28"/>
          <w:szCs w:val="28"/>
        </w:rPr>
        <w:t xml:space="preserve"> in </w:t>
      </w:r>
      <w:proofErr w:type="spellStart"/>
      <w:r w:rsidRPr="00FD1366">
        <w:rPr>
          <w:sz w:val="28"/>
          <w:szCs w:val="28"/>
        </w:rPr>
        <w:t>kaltungo</w:t>
      </w:r>
      <w:proofErr w:type="spellEnd"/>
      <w:r w:rsidRPr="00FD1366">
        <w:rPr>
          <w:sz w:val="28"/>
          <w:szCs w:val="28"/>
        </w:rPr>
        <w:t xml:space="preserve"> LGA of Gombe</w:t>
      </w:r>
      <w:r>
        <w:rPr>
          <w:sz w:val="28"/>
          <w:szCs w:val="28"/>
        </w:rPr>
        <w:t xml:space="preserve"> state, plant will be identified in the federal school of forestry, Jos, Plateau state Nigeria.</w:t>
      </w:r>
    </w:p>
    <w:p w:rsidR="00FD1366" w:rsidRDefault="00FD1366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leaves and fruits will be dried before using a mortar to pound into fine powder. A specimen will be deposited at the </w:t>
      </w:r>
      <w:r w:rsidR="00AB2DD2">
        <w:rPr>
          <w:sz w:val="28"/>
          <w:szCs w:val="28"/>
        </w:rPr>
        <w:t>Herbarium</w:t>
      </w:r>
      <w:r>
        <w:rPr>
          <w:sz w:val="28"/>
          <w:szCs w:val="28"/>
        </w:rPr>
        <w:t xml:space="preserve">, Department of </w:t>
      </w:r>
      <w:proofErr w:type="spellStart"/>
      <w:proofErr w:type="gramStart"/>
      <w:r>
        <w:rPr>
          <w:sz w:val="28"/>
          <w:szCs w:val="28"/>
        </w:rPr>
        <w:t>Pharmacognosy</w:t>
      </w:r>
      <w:proofErr w:type="spellEnd"/>
      <w:r w:rsidR="00AB2DD2">
        <w:rPr>
          <w:sz w:val="28"/>
          <w:szCs w:val="28"/>
        </w:rPr>
        <w:t xml:space="preserve"> ,</w:t>
      </w:r>
      <w:proofErr w:type="gramEnd"/>
      <w:r w:rsidR="00AB2DD2">
        <w:rPr>
          <w:sz w:val="28"/>
          <w:szCs w:val="28"/>
        </w:rPr>
        <w:t xml:space="preserve"> university of Jos.</w:t>
      </w:r>
    </w:p>
    <w:p w:rsidR="00AB2DD2" w:rsidRDefault="00AB2DD2" w:rsidP="00FD136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Macroscopical</w:t>
      </w:r>
      <w:proofErr w:type="spellEnd"/>
      <w:r>
        <w:rPr>
          <w:b/>
          <w:sz w:val="28"/>
          <w:szCs w:val="28"/>
        </w:rPr>
        <w:t xml:space="preserve"> examination</w:t>
      </w:r>
    </w:p>
    <w:p w:rsidR="00AB2DD2" w:rsidRDefault="00AB2DD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Various </w:t>
      </w:r>
      <w:proofErr w:type="spellStart"/>
      <w:r>
        <w:rPr>
          <w:sz w:val="28"/>
          <w:szCs w:val="28"/>
        </w:rPr>
        <w:t>microscopical</w:t>
      </w:r>
      <w:proofErr w:type="spellEnd"/>
      <w:r>
        <w:rPr>
          <w:sz w:val="28"/>
          <w:szCs w:val="28"/>
        </w:rPr>
        <w:t xml:space="preserve"> examinations will be carried out on the fruits and leaves which include observation of the colour, taste, odour, and size.</w:t>
      </w:r>
    </w:p>
    <w:p w:rsidR="00AB2DD2" w:rsidRDefault="00AB2DD2" w:rsidP="00FD136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Microscopical</w:t>
      </w:r>
      <w:proofErr w:type="spellEnd"/>
      <w:r>
        <w:rPr>
          <w:b/>
          <w:sz w:val="28"/>
          <w:szCs w:val="28"/>
        </w:rPr>
        <w:t xml:space="preserve"> examination</w:t>
      </w:r>
    </w:p>
    <w:p w:rsidR="00AB2DD2" w:rsidRDefault="00AB2DD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quantitative and qualitative microscopy will be carried out to determine the </w:t>
      </w:r>
      <w:proofErr w:type="spellStart"/>
      <w:r>
        <w:rPr>
          <w:sz w:val="28"/>
          <w:szCs w:val="28"/>
        </w:rPr>
        <w:t>stomatal</w:t>
      </w:r>
      <w:proofErr w:type="spellEnd"/>
      <w:r>
        <w:rPr>
          <w:sz w:val="28"/>
          <w:szCs w:val="28"/>
        </w:rPr>
        <w:t xml:space="preserve"> index, vein, palisade ratio. The upper and lower epidermises will be observed also.</w:t>
      </w:r>
    </w:p>
    <w:p w:rsidR="00AB2DD2" w:rsidRDefault="00AB2DD2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Phytochemical screening</w:t>
      </w:r>
    </w:p>
    <w:p w:rsidR="00AB2DD2" w:rsidRDefault="00AB2DD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will be carried out on the extracts using the standard methods and procedures described by </w:t>
      </w:r>
      <w:proofErr w:type="spellStart"/>
      <w:r>
        <w:rPr>
          <w:sz w:val="28"/>
          <w:szCs w:val="28"/>
        </w:rPr>
        <w:t>Sofowara</w:t>
      </w:r>
      <w:proofErr w:type="spellEnd"/>
      <w:r>
        <w:rPr>
          <w:sz w:val="28"/>
          <w:szCs w:val="28"/>
        </w:rPr>
        <w:t xml:space="preserve">, 2008 for the presence of secondary metabolites such as alkaloids, glycosides, </w:t>
      </w:r>
      <w:proofErr w:type="spellStart"/>
      <w:r>
        <w:rPr>
          <w:sz w:val="28"/>
          <w:szCs w:val="28"/>
        </w:rPr>
        <w:t>saponins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tanins</w:t>
      </w:r>
      <w:proofErr w:type="spellEnd"/>
      <w:proofErr w:type="gramEnd"/>
      <w:r w:rsidR="0080205C">
        <w:rPr>
          <w:sz w:val="28"/>
          <w:szCs w:val="28"/>
        </w:rPr>
        <w:t xml:space="preserve">. </w:t>
      </w:r>
    </w:p>
    <w:p w:rsidR="0080205C" w:rsidRDefault="0080205C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TLC Profiles</w:t>
      </w:r>
    </w:p>
    <w:p w:rsidR="0080205C" w:rsidRDefault="0080205C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>TLC profiles of the extracts will be studied on pre coated plates (</w:t>
      </w:r>
      <w:proofErr w:type="spellStart"/>
      <w:r>
        <w:rPr>
          <w:sz w:val="28"/>
          <w:szCs w:val="28"/>
        </w:rPr>
        <w:t>merck</w:t>
      </w:r>
      <w:proofErr w:type="spellEnd"/>
      <w:r>
        <w:rPr>
          <w:sz w:val="28"/>
          <w:szCs w:val="28"/>
        </w:rPr>
        <w:t xml:space="preserve"> F 254) and visualized with appropriate spray reagents, the qualitative will be done to determine the presence of compounds.</w:t>
      </w:r>
    </w:p>
    <w:p w:rsidR="0080205C" w:rsidRDefault="0090249B" w:rsidP="00FD13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Determination of phenolic content </w:t>
      </w:r>
    </w:p>
    <w:p w:rsidR="0090249B" w:rsidRDefault="0090249B" w:rsidP="00FD1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Folin-ciocalteu</w:t>
      </w:r>
      <w:proofErr w:type="spellEnd"/>
      <w:r>
        <w:rPr>
          <w:sz w:val="28"/>
          <w:szCs w:val="28"/>
        </w:rPr>
        <w:t xml:space="preserve"> method described by </w:t>
      </w:r>
      <w:proofErr w:type="spellStart"/>
      <w:r>
        <w:rPr>
          <w:sz w:val="28"/>
          <w:szCs w:val="28"/>
        </w:rPr>
        <w:t>Adedapo</w:t>
      </w:r>
      <w:proofErr w:type="spellEnd"/>
      <w:r>
        <w:rPr>
          <w:sz w:val="28"/>
          <w:szCs w:val="28"/>
        </w:rPr>
        <w:t xml:space="preserve"> et al., 2008 will be adopted</w:t>
      </w:r>
    </w:p>
    <w:p w:rsidR="0090249B" w:rsidRDefault="0090249B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Samples containing phenols are reduced by </w:t>
      </w:r>
      <w:proofErr w:type="spellStart"/>
      <w:r>
        <w:rPr>
          <w:sz w:val="28"/>
          <w:szCs w:val="28"/>
        </w:rPr>
        <w:t>folin-ciocalteu</w:t>
      </w:r>
      <w:proofErr w:type="spellEnd"/>
      <w:r>
        <w:rPr>
          <w:sz w:val="28"/>
          <w:szCs w:val="28"/>
        </w:rPr>
        <w:t xml:space="preserve"> reagent to produce blue colour complex</w:t>
      </w:r>
    </w:p>
    <w:p w:rsidR="0090249B" w:rsidRDefault="0090249B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phenolic </w:t>
      </w:r>
      <w:proofErr w:type="spellStart"/>
      <w:r>
        <w:rPr>
          <w:sz w:val="28"/>
          <w:szCs w:val="28"/>
        </w:rPr>
        <w:t>concenteration</w:t>
      </w:r>
      <w:proofErr w:type="spellEnd"/>
      <w:r>
        <w:rPr>
          <w:sz w:val="28"/>
          <w:szCs w:val="28"/>
        </w:rPr>
        <w:t xml:space="preserve"> of the extract is evaluated from the </w:t>
      </w:r>
      <w:proofErr w:type="spellStart"/>
      <w:r>
        <w:rPr>
          <w:sz w:val="28"/>
          <w:szCs w:val="28"/>
        </w:rPr>
        <w:t>gallic</w:t>
      </w:r>
      <w:proofErr w:type="spellEnd"/>
      <w:r>
        <w:rPr>
          <w:sz w:val="28"/>
          <w:szCs w:val="28"/>
        </w:rPr>
        <w:t xml:space="preserve"> acid calibration curve.</w:t>
      </w:r>
    </w:p>
    <w:p w:rsidR="004A1E92" w:rsidRPr="0090249B" w:rsidRDefault="004A1E9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>TPC will then be expressed.</w:t>
      </w:r>
    </w:p>
    <w:p w:rsidR="0090249B" w:rsidRDefault="0090249B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Determination of flavonoid</w:t>
      </w:r>
    </w:p>
    <w:p w:rsidR="004A1E92" w:rsidRPr="004A1E92" w:rsidRDefault="004A1E9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Flavonoid quantification will be done using aluminium chloride colorimetric method described by </w:t>
      </w:r>
      <w:proofErr w:type="spellStart"/>
      <w:r>
        <w:rPr>
          <w:sz w:val="28"/>
          <w:szCs w:val="28"/>
        </w:rPr>
        <w:t>Choudahary</w:t>
      </w:r>
      <w:proofErr w:type="spellEnd"/>
      <w:r>
        <w:rPr>
          <w:sz w:val="28"/>
          <w:szCs w:val="28"/>
        </w:rPr>
        <w:t xml:space="preserve"> et al., 2012</w:t>
      </w:r>
    </w:p>
    <w:p w:rsidR="0090249B" w:rsidRDefault="0090249B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Antioxidant assay</w:t>
      </w:r>
    </w:p>
    <w:p w:rsidR="004A1E92" w:rsidRPr="004A1E92" w:rsidRDefault="004A1E9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>The antioxidant activity of extracts on the stable radical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>-diphenyl-2-picrythydrazyl (DPPH) will be determined using the method described by Brand-</w:t>
      </w:r>
      <w:proofErr w:type="spellStart"/>
      <w:r>
        <w:rPr>
          <w:sz w:val="28"/>
          <w:szCs w:val="28"/>
        </w:rPr>
        <w:t>williams</w:t>
      </w:r>
      <w:proofErr w:type="spellEnd"/>
      <w:r>
        <w:rPr>
          <w:sz w:val="28"/>
          <w:szCs w:val="28"/>
        </w:rPr>
        <w:t xml:space="preserve"> et al., 1995</w:t>
      </w:r>
    </w:p>
    <w:p w:rsidR="0090249B" w:rsidRPr="0090249B" w:rsidRDefault="0090249B" w:rsidP="00FD13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Statistical analysis</w:t>
      </w:r>
    </w:p>
    <w:p w:rsidR="0080205C" w:rsidRPr="00AB2DD2" w:rsidRDefault="004A1E92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DPPH experiment will be carried out in triplicate studies (n=5). The result will be presented as mean +- standard error of mean (SEM). Student’s t-test will be used.</w:t>
      </w:r>
    </w:p>
    <w:p w:rsidR="00AB2DD2" w:rsidRPr="00AB2DD2" w:rsidRDefault="00AB2DD2" w:rsidP="00FD1366">
      <w:pPr>
        <w:jc w:val="both"/>
        <w:rPr>
          <w:sz w:val="28"/>
          <w:szCs w:val="28"/>
        </w:rPr>
      </w:pPr>
    </w:p>
    <w:p w:rsidR="00AB2DD2" w:rsidRPr="00AB2DD2" w:rsidRDefault="00AB2DD2" w:rsidP="00FD1366">
      <w:pPr>
        <w:jc w:val="both"/>
        <w:rPr>
          <w:sz w:val="28"/>
          <w:szCs w:val="28"/>
        </w:rPr>
      </w:pPr>
    </w:p>
    <w:p w:rsidR="004A1E92" w:rsidRDefault="00D65DE6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I: </w:t>
      </w:r>
      <w:r w:rsidR="004A1E92">
        <w:rPr>
          <w:b/>
          <w:sz w:val="28"/>
          <w:szCs w:val="28"/>
        </w:rPr>
        <w:t>Budget and 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2984"/>
        <w:gridCol w:w="1830"/>
        <w:gridCol w:w="1821"/>
        <w:gridCol w:w="1824"/>
      </w:tblGrid>
      <w:tr w:rsidR="0090526F" w:rsidTr="0090526F">
        <w:tc>
          <w:tcPr>
            <w:tcW w:w="675" w:type="dxa"/>
          </w:tcPr>
          <w:p w:rsidR="0090526F" w:rsidRPr="0090526F" w:rsidRDefault="0090526F" w:rsidP="00FD1366">
            <w:pPr>
              <w:jc w:val="both"/>
              <w:rPr>
                <w:b/>
                <w:sz w:val="28"/>
                <w:szCs w:val="28"/>
              </w:rPr>
            </w:pPr>
            <w:r w:rsidRPr="0090526F">
              <w:rPr>
                <w:b/>
                <w:sz w:val="28"/>
                <w:szCs w:val="28"/>
              </w:rPr>
              <w:t>s/No</w:t>
            </w:r>
          </w:p>
        </w:tc>
        <w:tc>
          <w:tcPr>
            <w:tcW w:w="3021" w:type="dxa"/>
          </w:tcPr>
          <w:p w:rsidR="0090526F" w:rsidRPr="0090526F" w:rsidRDefault="0090526F" w:rsidP="00FD1366">
            <w:pPr>
              <w:jc w:val="both"/>
              <w:rPr>
                <w:b/>
                <w:sz w:val="28"/>
                <w:szCs w:val="28"/>
              </w:rPr>
            </w:pPr>
            <w:r w:rsidRPr="0090526F">
              <w:rPr>
                <w:b/>
                <w:sz w:val="28"/>
                <w:szCs w:val="28"/>
              </w:rPr>
              <w:t>Item/activity</w:t>
            </w:r>
          </w:p>
        </w:tc>
        <w:tc>
          <w:tcPr>
            <w:tcW w:w="1848" w:type="dxa"/>
          </w:tcPr>
          <w:p w:rsidR="0090526F" w:rsidRPr="0090526F" w:rsidRDefault="0090526F" w:rsidP="0090526F">
            <w:pPr>
              <w:tabs>
                <w:tab w:val="left" w:pos="1170"/>
              </w:tabs>
              <w:jc w:val="both"/>
              <w:rPr>
                <w:b/>
                <w:sz w:val="28"/>
                <w:szCs w:val="28"/>
              </w:rPr>
            </w:pPr>
            <w:r w:rsidRPr="0090526F">
              <w:rPr>
                <w:b/>
                <w:sz w:val="28"/>
                <w:szCs w:val="28"/>
              </w:rPr>
              <w:t>quantity</w:t>
            </w:r>
            <w:r w:rsidRPr="0090526F">
              <w:rPr>
                <w:b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90526F" w:rsidRPr="0090526F" w:rsidRDefault="0090526F" w:rsidP="00FD1366">
            <w:pPr>
              <w:jc w:val="both"/>
              <w:rPr>
                <w:b/>
                <w:sz w:val="28"/>
                <w:szCs w:val="28"/>
              </w:rPr>
            </w:pPr>
            <w:r w:rsidRPr="0090526F"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1849" w:type="dxa"/>
          </w:tcPr>
          <w:p w:rsidR="0090526F" w:rsidRPr="0090526F" w:rsidRDefault="0090526F" w:rsidP="00FD1366">
            <w:pPr>
              <w:jc w:val="both"/>
              <w:rPr>
                <w:b/>
                <w:sz w:val="28"/>
                <w:szCs w:val="28"/>
              </w:rPr>
            </w:pPr>
            <w:r w:rsidRPr="0090526F">
              <w:rPr>
                <w:b/>
                <w:sz w:val="28"/>
                <w:szCs w:val="28"/>
              </w:rPr>
              <w:t>Total cost</w:t>
            </w:r>
          </w:p>
        </w:tc>
      </w:tr>
      <w:tr w:rsidR="0090526F" w:rsidTr="0090526F">
        <w:tc>
          <w:tcPr>
            <w:tcW w:w="675" w:type="dxa"/>
          </w:tcPr>
          <w:p w:rsidR="0090526F" w:rsidRPr="0090526F" w:rsidRDefault="0090526F" w:rsidP="00FD1366">
            <w:pPr>
              <w:jc w:val="both"/>
              <w:rPr>
                <w:sz w:val="28"/>
                <w:szCs w:val="28"/>
              </w:rPr>
            </w:pPr>
            <w:r w:rsidRPr="0090526F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90526F" w:rsidRPr="0090526F" w:rsidRDefault="0090526F" w:rsidP="00FD1366">
            <w:pPr>
              <w:jc w:val="both"/>
              <w:rPr>
                <w:sz w:val="28"/>
                <w:szCs w:val="28"/>
              </w:rPr>
            </w:pPr>
            <w:r w:rsidRPr="0090526F">
              <w:rPr>
                <w:sz w:val="28"/>
                <w:szCs w:val="28"/>
              </w:rPr>
              <w:t>Plant material</w:t>
            </w:r>
          </w:p>
        </w:tc>
        <w:tc>
          <w:tcPr>
            <w:tcW w:w="1848" w:type="dxa"/>
          </w:tcPr>
          <w:p w:rsidR="0090526F" w:rsidRDefault="00786A9D" w:rsidP="00FD1366">
            <w:pPr>
              <w:jc w:val="both"/>
            </w:pPr>
            <w:r>
              <w:t>6</w:t>
            </w:r>
            <w:r w:rsidR="00E46BFD">
              <w:t>kg</w:t>
            </w:r>
          </w:p>
        </w:tc>
        <w:tc>
          <w:tcPr>
            <w:tcW w:w="1849" w:type="dxa"/>
          </w:tcPr>
          <w:p w:rsidR="0090526F" w:rsidRDefault="00E46BFD" w:rsidP="00FD1366">
            <w:pPr>
              <w:jc w:val="both"/>
            </w:pPr>
            <w:r>
              <w:t>2000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12,000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0526F" w:rsidRDefault="009C4AAC" w:rsidP="00FD1366">
            <w:pPr>
              <w:jc w:val="both"/>
            </w:pPr>
            <w:r>
              <w:t xml:space="preserve">Hexane </w:t>
            </w:r>
          </w:p>
        </w:tc>
        <w:tc>
          <w:tcPr>
            <w:tcW w:w="1848" w:type="dxa"/>
          </w:tcPr>
          <w:p w:rsidR="0090526F" w:rsidRDefault="00786A9D" w:rsidP="00FD1366">
            <w:pPr>
              <w:jc w:val="both"/>
            </w:pPr>
            <w:r>
              <w:t>4 x 2.5L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9000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36,000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0526F" w:rsidRDefault="009C4AAC" w:rsidP="00FD1366">
            <w:pPr>
              <w:jc w:val="both"/>
            </w:pPr>
            <w:r>
              <w:t>Ethyl acetate</w:t>
            </w:r>
          </w:p>
        </w:tc>
        <w:tc>
          <w:tcPr>
            <w:tcW w:w="1848" w:type="dxa"/>
          </w:tcPr>
          <w:p w:rsidR="0090526F" w:rsidRDefault="00D65DE6" w:rsidP="00FD1366">
            <w:pPr>
              <w:jc w:val="both"/>
            </w:pPr>
            <w:r>
              <w:t>4 x 2.5L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10,000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40,000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4</w:t>
            </w:r>
          </w:p>
        </w:tc>
        <w:tc>
          <w:tcPr>
            <w:tcW w:w="3021" w:type="dxa"/>
          </w:tcPr>
          <w:p w:rsidR="0090526F" w:rsidRDefault="009C4AAC" w:rsidP="00FD1366">
            <w:pPr>
              <w:jc w:val="both"/>
            </w:pPr>
            <w:r>
              <w:t>Methanol</w:t>
            </w:r>
          </w:p>
        </w:tc>
        <w:tc>
          <w:tcPr>
            <w:tcW w:w="1848" w:type="dxa"/>
          </w:tcPr>
          <w:p w:rsidR="0090526F" w:rsidRDefault="00D65DE6" w:rsidP="00FD1366">
            <w:pPr>
              <w:jc w:val="both"/>
            </w:pPr>
            <w:r>
              <w:t>4 x 2.5L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9,000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36,000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5</w:t>
            </w:r>
          </w:p>
        </w:tc>
        <w:tc>
          <w:tcPr>
            <w:tcW w:w="3021" w:type="dxa"/>
          </w:tcPr>
          <w:p w:rsidR="0090526F" w:rsidRDefault="009C4AAC" w:rsidP="00FD1366">
            <w:pPr>
              <w:jc w:val="both"/>
            </w:pPr>
            <w:r>
              <w:t>Acetone</w:t>
            </w:r>
          </w:p>
        </w:tc>
        <w:tc>
          <w:tcPr>
            <w:tcW w:w="1848" w:type="dxa"/>
          </w:tcPr>
          <w:p w:rsidR="0090526F" w:rsidRDefault="00D65DE6" w:rsidP="00FD1366">
            <w:pPr>
              <w:jc w:val="both"/>
            </w:pPr>
            <w:r>
              <w:t>2 x 2.5L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9,000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18,000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6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Silica gel(column)</w:t>
            </w:r>
          </w:p>
        </w:tc>
        <w:tc>
          <w:tcPr>
            <w:tcW w:w="1848" w:type="dxa"/>
          </w:tcPr>
          <w:p w:rsidR="0090526F" w:rsidRDefault="00D65DE6" w:rsidP="00FD1366">
            <w:pPr>
              <w:jc w:val="both"/>
            </w:pPr>
            <w:r>
              <w:t>3 x</w:t>
            </w:r>
            <w:r w:rsidR="00786A9D">
              <w:t xml:space="preserve"> 50kg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8,000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24,000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7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Sample collectors</w:t>
            </w:r>
          </w:p>
        </w:tc>
        <w:tc>
          <w:tcPr>
            <w:tcW w:w="1848" w:type="dxa"/>
          </w:tcPr>
          <w:p w:rsidR="0090526F" w:rsidRDefault="00786A9D" w:rsidP="00FD1366">
            <w:pPr>
              <w:jc w:val="both"/>
            </w:pPr>
            <w:r>
              <w:t>300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250</w:t>
            </w: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75,000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8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Elemental Analysis</w:t>
            </w:r>
          </w:p>
        </w:tc>
        <w:tc>
          <w:tcPr>
            <w:tcW w:w="1848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80,000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9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GCMS Analysis</w:t>
            </w:r>
          </w:p>
        </w:tc>
        <w:tc>
          <w:tcPr>
            <w:tcW w:w="1848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25,000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10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Structure elucidation</w:t>
            </w:r>
          </w:p>
        </w:tc>
        <w:tc>
          <w:tcPr>
            <w:tcW w:w="1848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60,000</w:t>
            </w:r>
          </w:p>
        </w:tc>
      </w:tr>
      <w:tr w:rsidR="0090526F" w:rsidTr="0090526F">
        <w:tc>
          <w:tcPr>
            <w:tcW w:w="675" w:type="dxa"/>
          </w:tcPr>
          <w:p w:rsidR="0090526F" w:rsidRDefault="00E46BFD" w:rsidP="00FD1366">
            <w:pPr>
              <w:jc w:val="both"/>
            </w:pPr>
            <w:r>
              <w:t>11</w:t>
            </w:r>
          </w:p>
        </w:tc>
        <w:tc>
          <w:tcPr>
            <w:tcW w:w="3021" w:type="dxa"/>
          </w:tcPr>
          <w:p w:rsidR="0090526F" w:rsidRDefault="00E46BFD" w:rsidP="00FD1366">
            <w:pPr>
              <w:jc w:val="both"/>
            </w:pPr>
            <w:r>
              <w:t>Thesis production</w:t>
            </w:r>
          </w:p>
        </w:tc>
        <w:tc>
          <w:tcPr>
            <w:tcW w:w="1848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786A9D" w:rsidP="00FD1366">
            <w:pPr>
              <w:jc w:val="both"/>
            </w:pPr>
            <w:r>
              <w:t>50,000</w:t>
            </w:r>
          </w:p>
        </w:tc>
      </w:tr>
      <w:tr w:rsidR="0090526F" w:rsidTr="0090526F">
        <w:tc>
          <w:tcPr>
            <w:tcW w:w="675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3021" w:type="dxa"/>
          </w:tcPr>
          <w:p w:rsidR="0090526F" w:rsidRPr="00E46BFD" w:rsidRDefault="00E46BFD" w:rsidP="00FD1366">
            <w:pPr>
              <w:jc w:val="both"/>
            </w:pPr>
            <w:r>
              <w:rPr>
                <w:i/>
              </w:rPr>
              <w:t xml:space="preserve">Total </w:t>
            </w:r>
          </w:p>
        </w:tc>
        <w:tc>
          <w:tcPr>
            <w:tcW w:w="1848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90526F" w:rsidP="00FD1366">
            <w:pPr>
              <w:jc w:val="both"/>
            </w:pPr>
          </w:p>
        </w:tc>
        <w:tc>
          <w:tcPr>
            <w:tcW w:w="1849" w:type="dxa"/>
          </w:tcPr>
          <w:p w:rsidR="0090526F" w:rsidRDefault="00D65DE6" w:rsidP="00FD1366">
            <w:pPr>
              <w:jc w:val="both"/>
            </w:pPr>
            <w:r>
              <w:t>456,000</w:t>
            </w:r>
          </w:p>
        </w:tc>
      </w:tr>
    </w:tbl>
    <w:p w:rsidR="00FD1366" w:rsidRDefault="004A1E92" w:rsidP="00FD1366">
      <w:pPr>
        <w:jc w:val="both"/>
      </w:pPr>
      <w:r>
        <w:t xml:space="preserve"> </w:t>
      </w:r>
    </w:p>
    <w:p w:rsidR="00D65DE6" w:rsidRDefault="00D65DE6" w:rsidP="00FD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D65DE6" w:rsidRDefault="00D65DE6" w:rsidP="00FD1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Palgrave KC. Trees of South Africa.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Struik</w:t>
      </w:r>
      <w:proofErr w:type="spellEnd"/>
      <w:r>
        <w:rPr>
          <w:sz w:val="28"/>
          <w:szCs w:val="28"/>
        </w:rPr>
        <w:t xml:space="preserve"> publishers.</w:t>
      </w:r>
      <w:proofErr w:type="gramEnd"/>
      <w:r>
        <w:rPr>
          <w:sz w:val="28"/>
          <w:szCs w:val="28"/>
        </w:rPr>
        <w:t xml:space="preserve"> Cape Town; 1985</w:t>
      </w:r>
    </w:p>
    <w:p w:rsidR="00D65DE6" w:rsidRDefault="00D65DE6" w:rsidP="00FD1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White flora of </w:t>
      </w:r>
      <w:proofErr w:type="spellStart"/>
      <w:r>
        <w:rPr>
          <w:sz w:val="28"/>
          <w:szCs w:val="28"/>
        </w:rPr>
        <w:t>Norythen</w:t>
      </w:r>
      <w:proofErr w:type="spellEnd"/>
      <w:r>
        <w:rPr>
          <w:sz w:val="28"/>
          <w:szCs w:val="28"/>
        </w:rPr>
        <w:t xml:space="preserve"> Rhodesia.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Oxford university press.</w:t>
      </w:r>
      <w:proofErr w:type="gramEnd"/>
      <w:r>
        <w:rPr>
          <w:sz w:val="28"/>
          <w:szCs w:val="28"/>
        </w:rPr>
        <w:t xml:space="preserve"> London 1962</w:t>
      </w:r>
      <w:proofErr w:type="gramStart"/>
      <w:r>
        <w:rPr>
          <w:sz w:val="28"/>
          <w:szCs w:val="28"/>
        </w:rPr>
        <w:t>;27</w:t>
      </w:r>
      <w:proofErr w:type="gramEnd"/>
    </w:p>
    <w:p w:rsidR="00085247" w:rsidRDefault="00D65DE6" w:rsidP="00FD1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Food and agriculture organisation (FAO).</w:t>
      </w:r>
      <w:proofErr w:type="gramEnd"/>
      <w:r>
        <w:rPr>
          <w:sz w:val="28"/>
          <w:szCs w:val="28"/>
        </w:rPr>
        <w:t xml:space="preserve"> Food and fruit bearing </w:t>
      </w:r>
      <w:r w:rsidR="00085247">
        <w:rPr>
          <w:sz w:val="28"/>
          <w:szCs w:val="28"/>
        </w:rPr>
        <w:t>forest species.</w:t>
      </w:r>
    </w:p>
    <w:p w:rsidR="00A172BA" w:rsidRDefault="00A172BA" w:rsidP="00FD1366">
      <w:pPr>
        <w:jc w:val="both"/>
        <w:rPr>
          <w:sz w:val="28"/>
          <w:szCs w:val="28"/>
        </w:rPr>
      </w:pPr>
    </w:p>
    <w:p w:rsidR="00085247" w:rsidRDefault="00085247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Examples from </w:t>
      </w:r>
      <w:proofErr w:type="spellStart"/>
      <w:r>
        <w:rPr>
          <w:sz w:val="28"/>
          <w:szCs w:val="28"/>
        </w:rPr>
        <w:t>Eatern</w:t>
      </w:r>
      <w:proofErr w:type="spellEnd"/>
      <w:r>
        <w:rPr>
          <w:sz w:val="28"/>
          <w:szCs w:val="28"/>
        </w:rPr>
        <w:t xml:space="preserve"> Africa.</w:t>
      </w:r>
      <w:proofErr w:type="gramEnd"/>
      <w:r>
        <w:rPr>
          <w:sz w:val="28"/>
          <w:szCs w:val="28"/>
        </w:rPr>
        <w:t xml:space="preserve"> Food and agriculture organisation, forestry</w:t>
      </w:r>
    </w:p>
    <w:p w:rsidR="00D65DE6" w:rsidRDefault="00085247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>Rome. 1983</w:t>
      </w:r>
      <w:proofErr w:type="gramStart"/>
      <w:r>
        <w:rPr>
          <w:sz w:val="28"/>
          <w:szCs w:val="28"/>
        </w:rPr>
        <w:t>;14</w:t>
      </w:r>
      <w:proofErr w:type="gramEnd"/>
      <w:r>
        <w:rPr>
          <w:sz w:val="28"/>
          <w:szCs w:val="28"/>
        </w:rPr>
        <w:t>-16</w:t>
      </w:r>
    </w:p>
    <w:p w:rsidR="00085247" w:rsidRDefault="00085247" w:rsidP="00FD1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International centre for </w:t>
      </w:r>
      <w:proofErr w:type="spellStart"/>
      <w:r>
        <w:rPr>
          <w:sz w:val="28"/>
          <w:szCs w:val="28"/>
        </w:rPr>
        <w:t>reseach</w:t>
      </w:r>
      <w:proofErr w:type="spellEnd"/>
      <w:r>
        <w:rPr>
          <w:sz w:val="28"/>
          <w:szCs w:val="28"/>
        </w:rPr>
        <w:t xml:space="preserve"> in Agroforestry (ICRAF).</w:t>
      </w:r>
      <w:proofErr w:type="gramEnd"/>
      <w:r>
        <w:rPr>
          <w:sz w:val="28"/>
          <w:szCs w:val="28"/>
        </w:rPr>
        <w:t xml:space="preserve"> A selection of </w:t>
      </w:r>
      <w:proofErr w:type="spellStart"/>
      <w:r>
        <w:rPr>
          <w:sz w:val="28"/>
          <w:szCs w:val="28"/>
        </w:rPr>
        <w:t>usesful</w:t>
      </w:r>
      <w:proofErr w:type="spellEnd"/>
      <w:r>
        <w:rPr>
          <w:sz w:val="28"/>
          <w:szCs w:val="28"/>
        </w:rPr>
        <w:t xml:space="preserve"> </w:t>
      </w:r>
    </w:p>
    <w:p w:rsidR="00085247" w:rsidRDefault="00A172BA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85247">
        <w:rPr>
          <w:sz w:val="28"/>
          <w:szCs w:val="28"/>
        </w:rPr>
        <w:t>trees</w:t>
      </w:r>
      <w:proofErr w:type="gramEnd"/>
      <w:r w:rsidR="00085247">
        <w:rPr>
          <w:sz w:val="28"/>
          <w:szCs w:val="28"/>
        </w:rPr>
        <w:t xml:space="preserve"> and </w:t>
      </w:r>
      <w:proofErr w:type="spellStart"/>
      <w:r w:rsidR="00085247">
        <w:rPr>
          <w:sz w:val="28"/>
          <w:szCs w:val="28"/>
        </w:rPr>
        <w:t>shurubs</w:t>
      </w:r>
      <w:proofErr w:type="spellEnd"/>
      <w:r w:rsidR="00085247">
        <w:rPr>
          <w:sz w:val="28"/>
          <w:szCs w:val="28"/>
        </w:rPr>
        <w:t xml:space="preserve"> for Kenya, international centre for research in  agroforestry. Nairobi. 1992</w:t>
      </w:r>
      <w:proofErr w:type="gramStart"/>
      <w:r w:rsidR="00085247">
        <w:rPr>
          <w:sz w:val="28"/>
          <w:szCs w:val="28"/>
        </w:rPr>
        <w:t>;56</w:t>
      </w:r>
      <w:proofErr w:type="gramEnd"/>
    </w:p>
    <w:p w:rsidR="00085247" w:rsidRDefault="00085247" w:rsidP="00FD1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Mbuya</w:t>
      </w:r>
      <w:proofErr w:type="spellEnd"/>
      <w:r>
        <w:rPr>
          <w:sz w:val="28"/>
          <w:szCs w:val="28"/>
        </w:rPr>
        <w:t xml:space="preserve"> LP, </w:t>
      </w:r>
      <w:proofErr w:type="spellStart"/>
      <w:r>
        <w:rPr>
          <w:sz w:val="28"/>
          <w:szCs w:val="28"/>
        </w:rPr>
        <w:t>Msanga</w:t>
      </w:r>
      <w:proofErr w:type="spellEnd"/>
      <w:r>
        <w:rPr>
          <w:sz w:val="28"/>
          <w:szCs w:val="28"/>
        </w:rPr>
        <w:t xml:space="preserve"> CK, </w:t>
      </w:r>
      <w:proofErr w:type="spellStart"/>
      <w:r>
        <w:rPr>
          <w:sz w:val="28"/>
          <w:szCs w:val="28"/>
        </w:rPr>
        <w:t>Ruffo</w:t>
      </w:r>
      <w:proofErr w:type="spellEnd"/>
      <w:r>
        <w:rPr>
          <w:sz w:val="28"/>
          <w:szCs w:val="28"/>
        </w:rPr>
        <w:t xml:space="preserve"> CK, </w:t>
      </w:r>
      <w:proofErr w:type="spellStart"/>
      <w:r>
        <w:rPr>
          <w:sz w:val="28"/>
          <w:szCs w:val="28"/>
        </w:rPr>
        <w:t>Birnie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Tengas</w:t>
      </w:r>
      <w:proofErr w:type="spellEnd"/>
      <w:r>
        <w:rPr>
          <w:sz w:val="28"/>
          <w:szCs w:val="28"/>
        </w:rPr>
        <w:t xml:space="preserve"> B. useful trees and shrubs of</w:t>
      </w:r>
    </w:p>
    <w:p w:rsidR="00085247" w:rsidRDefault="00085247" w:rsidP="00FD1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Tanzania. </w:t>
      </w:r>
      <w:proofErr w:type="spellStart"/>
      <w:proofErr w:type="gramStart"/>
      <w:r>
        <w:rPr>
          <w:sz w:val="28"/>
          <w:szCs w:val="28"/>
        </w:rPr>
        <w:t>Reginal</w:t>
      </w:r>
      <w:proofErr w:type="spellEnd"/>
      <w:r>
        <w:rPr>
          <w:sz w:val="28"/>
          <w:szCs w:val="28"/>
        </w:rPr>
        <w:t xml:space="preserve"> soil </w:t>
      </w:r>
      <w:proofErr w:type="spellStart"/>
      <w:r>
        <w:rPr>
          <w:sz w:val="28"/>
          <w:szCs w:val="28"/>
        </w:rPr>
        <w:t>conxervation</w:t>
      </w:r>
      <w:proofErr w:type="spellEnd"/>
      <w:r>
        <w:rPr>
          <w:sz w:val="28"/>
          <w:szCs w:val="28"/>
        </w:rPr>
        <w:t xml:space="preserve"> unit/SIDA.</w:t>
      </w:r>
      <w:proofErr w:type="gramEnd"/>
      <w:r>
        <w:rPr>
          <w:sz w:val="28"/>
          <w:szCs w:val="28"/>
        </w:rPr>
        <w:t xml:space="preserve"> 1994</w:t>
      </w:r>
      <w:proofErr w:type="gramStart"/>
      <w:r>
        <w:rPr>
          <w:sz w:val="28"/>
          <w:szCs w:val="28"/>
        </w:rPr>
        <w:t>;223</w:t>
      </w:r>
      <w:proofErr w:type="gramEnd"/>
      <w:r>
        <w:rPr>
          <w:sz w:val="28"/>
          <w:szCs w:val="28"/>
        </w:rPr>
        <w:t>-225</w:t>
      </w:r>
    </w:p>
    <w:p w:rsidR="00085247" w:rsidRPr="00D65DE6" w:rsidRDefault="00085247" w:rsidP="00FD1366">
      <w:pPr>
        <w:jc w:val="both"/>
        <w:rPr>
          <w:sz w:val="28"/>
          <w:szCs w:val="28"/>
        </w:rPr>
      </w:pPr>
    </w:p>
    <w:p w:rsidR="00D65DE6" w:rsidRDefault="00A172BA" w:rsidP="00FD136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Choudhary</w:t>
      </w:r>
      <w:proofErr w:type="spellEnd"/>
      <w:r>
        <w:rPr>
          <w:sz w:val="28"/>
          <w:szCs w:val="28"/>
        </w:rPr>
        <w:t xml:space="preserve">, S., </w:t>
      </w:r>
      <w:proofErr w:type="spellStart"/>
      <w:r>
        <w:rPr>
          <w:sz w:val="28"/>
          <w:szCs w:val="28"/>
        </w:rPr>
        <w:t>Tabwer</w:t>
      </w:r>
      <w:proofErr w:type="spellEnd"/>
      <w:r>
        <w:rPr>
          <w:sz w:val="28"/>
          <w:szCs w:val="28"/>
        </w:rPr>
        <w:t xml:space="preserve">, B. S., Singh, T. and </w:t>
      </w:r>
      <w:proofErr w:type="spellStart"/>
      <w:r>
        <w:rPr>
          <w:sz w:val="28"/>
          <w:szCs w:val="28"/>
        </w:rPr>
        <w:t>Vijaverga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(2013): Total phenolic, total flavonoid content DPPH free radical scavenging activity of </w:t>
      </w:r>
      <w:proofErr w:type="spellStart"/>
      <w:r>
        <w:rPr>
          <w:i/>
          <w:sz w:val="28"/>
          <w:szCs w:val="28"/>
        </w:rPr>
        <w:t>melothria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maderaspatana</w:t>
      </w:r>
      <w:proofErr w:type="spellEnd"/>
      <w:r>
        <w:rPr>
          <w:i/>
          <w:sz w:val="28"/>
          <w:szCs w:val="28"/>
        </w:rPr>
        <w:t xml:space="preserve"> </w:t>
      </w:r>
      <w:r w:rsidRPr="00A172BA">
        <w:rPr>
          <w:sz w:val="28"/>
          <w:szCs w:val="28"/>
        </w:rPr>
        <w:t>(Linn)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coGn</w:t>
      </w:r>
      <w:proofErr w:type="spellEnd"/>
      <w:proofErr w:type="gramEnd"/>
      <w:r>
        <w:rPr>
          <w:sz w:val="28"/>
          <w:szCs w:val="28"/>
        </w:rPr>
        <w:t>. International journal of pharmacy and pharmaceutical sciences 5(1), 296-298</w:t>
      </w:r>
    </w:p>
    <w:p w:rsidR="00A172BA" w:rsidRPr="006F45F3" w:rsidRDefault="00A172BA" w:rsidP="00FD136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Adedolapo</w:t>
      </w:r>
      <w:proofErr w:type="spellEnd"/>
      <w:r>
        <w:rPr>
          <w:sz w:val="28"/>
          <w:szCs w:val="28"/>
        </w:rPr>
        <w:t xml:space="preserve">, A. A., </w:t>
      </w:r>
      <w:proofErr w:type="spellStart"/>
      <w:r>
        <w:rPr>
          <w:sz w:val="28"/>
          <w:szCs w:val="28"/>
        </w:rPr>
        <w:t>Jimoh</w:t>
      </w:r>
      <w:proofErr w:type="spellEnd"/>
      <w:r>
        <w:rPr>
          <w:sz w:val="28"/>
          <w:szCs w:val="28"/>
        </w:rPr>
        <w:t xml:space="preserve">, F.O., </w:t>
      </w:r>
      <w:proofErr w:type="spellStart"/>
      <w:r>
        <w:rPr>
          <w:sz w:val="28"/>
          <w:szCs w:val="28"/>
        </w:rPr>
        <w:t>Afolayan</w:t>
      </w:r>
      <w:proofErr w:type="spellEnd"/>
      <w:r>
        <w:rPr>
          <w:sz w:val="28"/>
          <w:szCs w:val="28"/>
        </w:rPr>
        <w:t xml:space="preserve">, A. J. and </w:t>
      </w:r>
      <w:proofErr w:type="spellStart"/>
      <w:r>
        <w:rPr>
          <w:sz w:val="28"/>
          <w:szCs w:val="28"/>
        </w:rPr>
        <w:t>Masika</w:t>
      </w:r>
      <w:proofErr w:type="spellEnd"/>
      <w:r>
        <w:rPr>
          <w:sz w:val="28"/>
          <w:szCs w:val="28"/>
        </w:rPr>
        <w:t>, P. J. (2008).</w:t>
      </w:r>
      <w:proofErr w:type="gramEnd"/>
      <w:r>
        <w:rPr>
          <w:sz w:val="28"/>
          <w:szCs w:val="28"/>
        </w:rPr>
        <w:t xml:space="preserve"> Antioxidant activities </w:t>
      </w:r>
      <w:r w:rsidR="006F45F3">
        <w:rPr>
          <w:sz w:val="28"/>
          <w:szCs w:val="28"/>
        </w:rPr>
        <w:t xml:space="preserve">and phenolic contents of the methanol extract of the stem of </w:t>
      </w:r>
      <w:proofErr w:type="spellStart"/>
      <w:r w:rsidR="006F45F3">
        <w:rPr>
          <w:i/>
          <w:sz w:val="28"/>
          <w:szCs w:val="28"/>
        </w:rPr>
        <w:t>Acokanthera</w:t>
      </w:r>
      <w:proofErr w:type="spellEnd"/>
      <w:r w:rsidR="006F45F3">
        <w:rPr>
          <w:i/>
          <w:sz w:val="28"/>
          <w:szCs w:val="28"/>
        </w:rPr>
        <w:t xml:space="preserve"> </w:t>
      </w:r>
      <w:proofErr w:type="spellStart"/>
      <w:r w:rsidR="006F45F3">
        <w:rPr>
          <w:i/>
          <w:sz w:val="28"/>
          <w:szCs w:val="28"/>
        </w:rPr>
        <w:t>oppositifolia</w:t>
      </w:r>
      <w:proofErr w:type="spellEnd"/>
      <w:r w:rsidR="006F45F3">
        <w:rPr>
          <w:i/>
          <w:sz w:val="28"/>
          <w:szCs w:val="28"/>
        </w:rPr>
        <w:t xml:space="preserve"> </w:t>
      </w:r>
      <w:r w:rsidR="006F45F3" w:rsidRPr="006F45F3">
        <w:rPr>
          <w:sz w:val="28"/>
          <w:szCs w:val="28"/>
        </w:rPr>
        <w:t>and</w:t>
      </w:r>
      <w:r w:rsidR="006F45F3">
        <w:rPr>
          <w:i/>
          <w:sz w:val="28"/>
          <w:szCs w:val="28"/>
        </w:rPr>
        <w:t xml:space="preserve"> </w:t>
      </w:r>
      <w:proofErr w:type="spellStart"/>
      <w:r w:rsidR="006F45F3">
        <w:rPr>
          <w:i/>
          <w:sz w:val="28"/>
          <w:szCs w:val="28"/>
        </w:rPr>
        <w:t>Adenia</w:t>
      </w:r>
      <w:proofErr w:type="spellEnd"/>
      <w:r w:rsidR="006F45F3">
        <w:rPr>
          <w:i/>
          <w:sz w:val="28"/>
          <w:szCs w:val="28"/>
        </w:rPr>
        <w:t xml:space="preserve"> </w:t>
      </w:r>
      <w:proofErr w:type="spellStart"/>
      <w:r w:rsidR="006F45F3">
        <w:rPr>
          <w:i/>
          <w:sz w:val="28"/>
          <w:szCs w:val="28"/>
        </w:rPr>
        <w:t>gummifera</w:t>
      </w:r>
      <w:proofErr w:type="spellEnd"/>
      <w:r w:rsidR="006F45F3">
        <w:rPr>
          <w:i/>
          <w:sz w:val="28"/>
          <w:szCs w:val="28"/>
        </w:rPr>
        <w:t xml:space="preserve">. </w:t>
      </w:r>
      <w:proofErr w:type="gramStart"/>
      <w:r w:rsidR="006F45F3">
        <w:rPr>
          <w:sz w:val="28"/>
          <w:szCs w:val="28"/>
        </w:rPr>
        <w:t>BMC complementary and alternative medicine.</w:t>
      </w:r>
      <w:proofErr w:type="gramEnd"/>
      <w:r w:rsidR="006F45F3">
        <w:rPr>
          <w:sz w:val="28"/>
          <w:szCs w:val="28"/>
        </w:rPr>
        <w:t xml:space="preserve"> </w:t>
      </w:r>
      <w:proofErr w:type="gramStart"/>
      <w:r w:rsidR="006F45F3">
        <w:rPr>
          <w:sz w:val="28"/>
          <w:szCs w:val="28"/>
        </w:rPr>
        <w:t>8(54).</w:t>
      </w:r>
      <w:proofErr w:type="gramEnd"/>
    </w:p>
    <w:p w:rsidR="00FD1366" w:rsidRPr="00A172BA" w:rsidRDefault="00FD1366" w:rsidP="00FD1366">
      <w:pPr>
        <w:pStyle w:val="ListParagraph"/>
        <w:jc w:val="both"/>
      </w:pPr>
      <w:bookmarkStart w:id="0" w:name="_GoBack"/>
      <w:bookmarkEnd w:id="0"/>
    </w:p>
    <w:sectPr w:rsidR="00FD1366" w:rsidRPr="00A172BA" w:rsidSect="00C3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1C2D"/>
    <w:multiLevelType w:val="hybridMultilevel"/>
    <w:tmpl w:val="2E8AB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2D2E"/>
    <w:multiLevelType w:val="hybridMultilevel"/>
    <w:tmpl w:val="9578C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37"/>
    <w:rsid w:val="00085247"/>
    <w:rsid w:val="00235737"/>
    <w:rsid w:val="004A1E92"/>
    <w:rsid w:val="006F45F3"/>
    <w:rsid w:val="00786A9D"/>
    <w:rsid w:val="0080205C"/>
    <w:rsid w:val="0082356C"/>
    <w:rsid w:val="008A2BD8"/>
    <w:rsid w:val="0090249B"/>
    <w:rsid w:val="0090526F"/>
    <w:rsid w:val="009C4AAC"/>
    <w:rsid w:val="009D72E2"/>
    <w:rsid w:val="00A172BA"/>
    <w:rsid w:val="00AB2DD2"/>
    <w:rsid w:val="00C3458E"/>
    <w:rsid w:val="00D65DE6"/>
    <w:rsid w:val="00E46BFD"/>
    <w:rsid w:val="00FD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37"/>
  </w:style>
  <w:style w:type="character" w:customStyle="1" w:styleId="Heading1Char">
    <w:name w:val="Heading 1 Char"/>
    <w:basedOn w:val="DefaultParagraphFont"/>
    <w:link w:val="Heading1"/>
    <w:uiPriority w:val="9"/>
    <w:rsid w:val="0023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BD8"/>
    <w:pPr>
      <w:ind w:left="720"/>
      <w:contextualSpacing/>
    </w:pPr>
  </w:style>
  <w:style w:type="table" w:styleId="TableGrid">
    <w:name w:val="Table Grid"/>
    <w:basedOn w:val="TableNormal"/>
    <w:uiPriority w:val="59"/>
    <w:rsid w:val="0090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37"/>
  </w:style>
  <w:style w:type="character" w:customStyle="1" w:styleId="Heading1Char">
    <w:name w:val="Heading 1 Char"/>
    <w:basedOn w:val="DefaultParagraphFont"/>
    <w:link w:val="Heading1"/>
    <w:uiPriority w:val="9"/>
    <w:rsid w:val="0023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BD8"/>
    <w:pPr>
      <w:ind w:left="720"/>
      <w:contextualSpacing/>
    </w:pPr>
  </w:style>
  <w:style w:type="table" w:styleId="TableGrid">
    <w:name w:val="Table Grid"/>
    <w:basedOn w:val="TableNormal"/>
    <w:uiPriority w:val="59"/>
    <w:rsid w:val="0090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Adams</cp:lastModifiedBy>
  <cp:revision>5</cp:revision>
  <dcterms:created xsi:type="dcterms:W3CDTF">2017-06-26T08:18:00Z</dcterms:created>
  <dcterms:modified xsi:type="dcterms:W3CDTF">2017-06-26T10:30:00Z</dcterms:modified>
</cp:coreProperties>
</file>